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A2A98" w:rsidR="004A2A98" w:rsidP="004A2A98" w:rsidRDefault="004A2A98" w14:paraId="0942074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BE"/>
        </w:rPr>
      </w:pPr>
      <w:r w:rsidRPr="004A2A98">
        <w:rPr>
          <w:rFonts w:ascii="Calibri" w:hAnsi="Calibri" w:eastAsia="Times New Roman" w:cs="Calibri"/>
          <w:b/>
          <w:bCs/>
          <w:sz w:val="36"/>
          <w:szCs w:val="36"/>
          <w:lang w:eastAsia="nl-BE"/>
        </w:rPr>
        <w:t>REGIOPLAN IROJ OOST-VLAANDEREN: ACTIES 2023</w:t>
      </w:r>
      <w:r w:rsidRPr="004A2A98">
        <w:rPr>
          <w:rFonts w:ascii="Calibri" w:hAnsi="Calibri" w:eastAsia="Times New Roman" w:cs="Calibri"/>
          <w:sz w:val="24"/>
          <w:szCs w:val="24"/>
          <w:lang w:eastAsia="nl-BE"/>
        </w:rPr>
        <w:t xml:space="preserve">                                                                </w:t>
      </w:r>
      <w:r w:rsidRPr="004A2A98">
        <w:rPr>
          <w:noProof/>
          <w:lang w:eastAsia="nl-BE"/>
        </w:rPr>
        <w:drawing>
          <wp:inline distT="0" distB="0" distL="0" distR="0" wp14:anchorId="4515C314" wp14:editId="6EE9BCB1">
            <wp:extent cx="1302385" cy="410210"/>
            <wp:effectExtent l="0" t="0" r="0" b="8890"/>
            <wp:docPr id="2" name="Picture 2" descr="C:\Users\beva\AppData\Local\Microsoft\Windows\INetCache\Content.MSO\DB4063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va\AppData\Local\Microsoft\Windows\INetCache\Content.MSO\DB40632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A98">
        <w:rPr>
          <w:rFonts w:ascii="Calibri" w:hAnsi="Calibri" w:eastAsia="Times New Roman" w:cs="Calibri"/>
          <w:sz w:val="24"/>
          <w:szCs w:val="24"/>
          <w:lang w:eastAsia="nl-BE"/>
        </w:rPr>
        <w:t>    </w:t>
      </w:r>
    </w:p>
    <w:tbl>
      <w:tblPr>
        <w:tblW w:w="90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471"/>
        <w:gridCol w:w="1459"/>
      </w:tblGrid>
      <w:tr w:rsidRPr="004A2A98" w:rsidR="00782C92" w:rsidTr="3369F2B3" w14:paraId="516DA2E3" w14:textId="14F7D0CB">
        <w:trPr>
          <w:trHeight w:val="360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451D7DA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1769D06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  <w:t>ACTIES 2023</w:t>
            </w: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A2A98" w:rsidR="00782C92" w:rsidP="004A2A98" w:rsidRDefault="00782C92" w14:paraId="0211ADCD" w14:textId="232895FB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  <w:t>trekker</w:t>
            </w:r>
          </w:p>
        </w:tc>
      </w:tr>
      <w:tr w:rsidRPr="004A2A98" w:rsidR="00782C92" w:rsidTr="3369F2B3" w14:paraId="5207E8CD" w14:textId="3D0E3F27">
        <w:trPr>
          <w:trHeight w:val="885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760ECEA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  <w:t>TOEGANG</w:t>
            </w: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0F7D" w:rsidR="00782C92" w:rsidP="004A2A98" w:rsidRDefault="00782C92" w14:paraId="3119F37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</w:t>
            </w:r>
            <w:r w:rsidRPr="00DE0F7D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verbetert de toegang </w:t>
            </w: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tot de Oost-Vlaamse Jeugdhulp  </w:t>
            </w:r>
          </w:p>
          <w:p w:rsidR="00DE0F7D" w:rsidRDefault="00782C92" w14:paraId="4702DB2C" w14:textId="49784F16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wil  acties uitdenken mbt </w:t>
            </w:r>
          </w:p>
          <w:p w:rsidR="00DE0F7D" w:rsidP="00DE0F7D" w:rsidRDefault="00DE0F7D" w14:paraId="2CBA02ED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</w:t>
            </w:r>
            <w:r w:rsidRPr="00782C92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de </w:t>
            </w:r>
            <w:r w:rsidRPr="00E62345" w:rsidR="00782C92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druk op het aanbod</w:t>
            </w:r>
            <w:r w:rsidRPr="00DE0F7D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(</w:t>
            </w:r>
            <w:r w:rsidRPr="00782C92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omgaan met wachtlijsten, afstemming 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</w:t>
            </w:r>
          </w:p>
          <w:p w:rsidR="00DE0F7D" w:rsidP="00DE0F7D" w:rsidRDefault="00DE0F7D" w14:paraId="0B44B64D" w14:textId="0F4C814A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capaciteit risi</w:t>
            </w:r>
            <w:r w:rsidRPr="56794FF7" w:rsidR="6F1240EE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c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ondersteuning/wie doet wat? residentiële </w:t>
            </w:r>
          </w:p>
          <w:p w:rsidR="00DE0F7D" w:rsidP="00DE0F7D" w:rsidRDefault="00DE0F7D" w14:paraId="21ECFF5E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</w:t>
            </w:r>
            <w:r w:rsidRPr="00782C92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capaciteit staat onder druk, te </w:t>
            </w:r>
            <w:r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b</w:t>
            </w:r>
            <w:r w:rsidRPr="00782C92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eperkt aanbod type 2, impact </w:t>
            </w:r>
          </w:p>
          <w:p w:rsidRPr="004A2A98" w:rsidR="00070F54" w:rsidP="00070F54" w:rsidRDefault="10840181" w14:paraId="379E2C13" w14:textId="00AF4FC5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DE0F7D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reconversie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, signaal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jovo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,</w:t>
            </w:r>
            <w:r w:rsidRPr="3369F2B3" w:rsidR="749D7199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verbinding taskforce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...) </w:t>
            </w:r>
          </w:p>
          <w:p w:rsidR="00610ABD" w:rsidP="3369F2B3" w:rsidRDefault="00782C92" w14:paraId="04F880E5" w14:textId="193FD6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ondersteunt afstemming tussen jeugdhulpactoren </w:t>
            </w:r>
          </w:p>
          <w:p w:rsidR="00610ABD" w:rsidP="001A1873" w:rsidRDefault="00610ABD" w14:paraId="085714CD" w14:textId="779687E5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en de Oost-Vlaamse </w:t>
            </w:r>
            <w:r w:rsidRPr="56794FF7" w:rsidR="31605689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IPO’s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56794FF7" w:rsidR="00782C92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en MPIGO’s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  en internaten via de </w:t>
            </w:r>
          </w:p>
          <w:p w:rsidR="00610ABD" w:rsidP="001A1873" w:rsidRDefault="00610ABD" w14:paraId="572A56C8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</w:t>
            </w:r>
            <w:r w:rsidRPr="00DE0F7D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regionale netwerkstuurgroepen en stemt af met Vlaamse 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</w:t>
            </w:r>
          </w:p>
          <w:p w:rsidRPr="00DE0F7D" w:rsidR="00782C92" w:rsidP="001A1873" w:rsidRDefault="00610ABD" w14:paraId="0FEB892C" w14:textId="3DB5073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</w:t>
            </w:r>
            <w:r w:rsidRPr="00DE0F7D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initiatieven hieromtrent</w:t>
            </w:r>
          </w:p>
          <w:p w:rsidR="00782C92" w:rsidP="3369F2B3" w:rsidRDefault="00782C92" w14:paraId="2DD91AD0" w14:textId="418E13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</w:t>
            </w:r>
            <w:r w:rsidRPr="3369F2B3" w:rsidR="009C3CFC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verbindt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met de </w:t>
            </w:r>
            <w:r w:rsidRPr="3369F2B3" w:rsidR="00782C92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>ELZ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via de regionale </w:t>
            </w:r>
          </w:p>
          <w:p w:rsidR="009C3CFC" w:rsidP="001A1873" w:rsidRDefault="00782C92" w14:paraId="0FC391AC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075AF05E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netwerkstuurgroepen Jeugdhulp en vertegenwoordiging in het IROJ </w:t>
            </w:r>
            <w:r w:rsidR="009C3CFC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</w:t>
            </w:r>
          </w:p>
          <w:p w:rsidRPr="004A2A98" w:rsidR="00782C92" w:rsidP="001A1873" w:rsidRDefault="009C3CFC" w14:paraId="59FA254A" w14:textId="4375D28D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(Koen). Hoe  </w:t>
            </w:r>
            <w:r w:rsidRPr="56794FF7" w:rsidR="0469CE7C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J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eugdhulp integreren in de zorgraden?</w:t>
            </w:r>
          </w:p>
          <w:p w:rsidRPr="00DE0F7D" w:rsidR="00782C92" w:rsidP="3369F2B3" w:rsidRDefault="008339AF" w14:paraId="6FD39520" w14:textId="66276D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werkt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obv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bevragingsresultaten acties uit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tav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huisartsen </w:t>
            </w:r>
            <w:r w:rsidRPr="3369F2B3" w:rsidR="00E62345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en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politiediensten </w:t>
            </w:r>
            <w:r w:rsidRPr="3369F2B3" w:rsidR="00E62345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en brede instapdiensten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(bv Het IROJ OVL werkt, samen met 1g1p, een eenvoudig overzicht </w:t>
            </w:r>
            <w:r w:rsidRPr="3369F2B3" w:rsidR="008339AF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(</w:t>
            </w:r>
            <w:r w:rsidRPr="3369F2B3" w:rsidR="008339AF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>bol jeugdhulp)</w:t>
            </w:r>
            <w:r w:rsidRPr="3369F2B3" w:rsidR="008339AF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Brede instap met helpende richtvraagjes uit</w:t>
            </w:r>
            <w:r w:rsidRPr="3369F2B3" w:rsidR="008339AF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v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oor</w:t>
            </w:r>
            <w:r w:rsidRPr="3369F2B3" w:rsidR="00E62345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huisartsen/politiediensten. Daarnaast maakt ze een </w:t>
            </w:r>
            <w:r w:rsidRPr="3369F2B3" w:rsidR="00782C92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>nieuwe</w:t>
            </w:r>
            <w:r w:rsidRPr="3369F2B3" w:rsidR="3F155869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 xml:space="preserve"> </w:t>
            </w:r>
            <w:r w:rsidRPr="3369F2B3" w:rsidR="00782C92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>voordeur op voor de SOKA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om professionals te helpen navigeren </w:t>
            </w:r>
          </w:p>
          <w:p w:rsidRPr="00A80590" w:rsidR="00E62345" w:rsidRDefault="00782C92" w14:paraId="0B067AED" w14:textId="61EDDC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</w:pP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organiseert een jaarlijks </w:t>
            </w:r>
            <w:r w:rsidRPr="3369F2B3" w:rsidR="00782C92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 xml:space="preserve">webinar mbt de werking van </w:t>
            </w:r>
          </w:p>
          <w:p w:rsidRPr="004A2A98" w:rsidR="00782C92" w:rsidP="00E62345" w:rsidRDefault="00E62345" w14:paraId="230CD65A" w14:textId="6B10323F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 xml:space="preserve">        </w:t>
            </w:r>
            <w:r w:rsidRPr="56794FF7" w:rsidR="00782C92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 xml:space="preserve">het Oost- Vlaams parket </w:t>
            </w:r>
          </w:p>
          <w:p w:rsidR="00E5711D" w:rsidP="3369F2B3" w:rsidRDefault="00E5711D" w14:paraId="257CC883" w14:textId="0529193E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4C3BA590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</w:t>
            </w:r>
            <w:r w:rsidRPr="3369F2B3" w:rsidR="4C3BA590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 xml:space="preserve">sensibiliseert </w:t>
            </w:r>
            <w:r w:rsidRPr="3369F2B3" w:rsidR="4C3BA590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rond de plek van het </w:t>
            </w:r>
            <w:r w:rsidRPr="3369F2B3" w:rsidR="4C3BA590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handica</w:t>
            </w:r>
            <w:r w:rsidRPr="3369F2B3" w:rsidR="1E67CB0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pspecifiek</w:t>
            </w:r>
            <w:r w:rsidRPr="3369F2B3" w:rsidR="1E67CB0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</w:t>
            </w:r>
          </w:p>
          <w:p w:rsidR="00E5711D" w:rsidP="3369F2B3" w:rsidRDefault="00E5711D" w14:paraId="34D24D67" w14:textId="03EDF95D">
            <w:p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1E67CB0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        werken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in de Jeugdhulp </w:t>
            </w:r>
          </w:p>
          <w:p w:rsidR="1BFA8FE2" w:rsidRDefault="63CD80F6" w14:paraId="600B69DC" w14:textId="54AF75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63CD80F6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</w:t>
            </w:r>
            <w:r w:rsidRPr="3369F2B3" w:rsidR="53ECF50C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probeert de stem van jeugdhulp binnen de toewijsraden van de vernieuwde woonmaatschappijen te vergroten</w:t>
            </w:r>
          </w:p>
          <w:p w:rsidRPr="00DE0F7D" w:rsidR="00782C92" w:rsidP="00E5711D" w:rsidRDefault="00782C92" w14:paraId="017DCC01" w14:textId="5322674A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82C92" w:rsidP="004A2A98" w:rsidRDefault="00610ABD" w14:paraId="65534BB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</w:t>
            </w:r>
          </w:p>
          <w:p w:rsidR="00610ABD" w:rsidP="004A2A98" w:rsidRDefault="00610ABD" w14:paraId="0969F916" w14:textId="2798878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610ABD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IROJ WG aanbod</w:t>
            </w:r>
            <w:r w:rsidRPr="3369F2B3" w:rsidR="00E1219A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/toegang</w:t>
            </w:r>
          </w:p>
          <w:p w:rsidR="23573478" w:rsidP="3369F2B3" w:rsidRDefault="23573478" w14:paraId="5252C0B3" w14:textId="0430B1BF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2357347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(Tom-Joy-Stefaan)</w:t>
            </w:r>
          </w:p>
          <w:p w:rsidR="00440AEF" w:rsidP="004A2A98" w:rsidRDefault="00440AEF" w14:paraId="520E707F" w14:textId="0EFE9C3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440AEF" w:rsidP="004A2A98" w:rsidRDefault="00440AEF" w14:paraId="58BCC3C6" w14:textId="29F8EC0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38AEC205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Voorzitters NWSG </w:t>
            </w:r>
            <w:r w:rsidRPr="3369F2B3" w:rsidR="7427789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IJH</w:t>
            </w:r>
          </w:p>
          <w:p w:rsidR="00440AEF" w:rsidP="004A2A98" w:rsidRDefault="00440AEF" w14:paraId="50165143" w14:textId="0338535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9C3CFC" w:rsidP="004A2A98" w:rsidRDefault="009C3CFC" w14:paraId="1D7AFD94" w14:textId="3ABF70F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9C3CFC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Voorzitters NWSG</w:t>
            </w:r>
            <w:r w:rsidRPr="3369F2B3" w:rsidR="00833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IJH </w:t>
            </w:r>
            <w:r w:rsidRPr="3369F2B3" w:rsidR="009C3CFC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+Koen</w:t>
            </w:r>
          </w:p>
          <w:p w:rsidR="00E62345" w:rsidP="004A2A98" w:rsidRDefault="00E62345" w14:paraId="52D2D5F4" w14:textId="7D66CFA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3369F2B3" w:rsidP="3369F2B3" w:rsidRDefault="3369F2B3" w14:paraId="649789C5" w14:textId="0C96B8E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E62345" w:rsidP="004A2A98" w:rsidRDefault="00E62345" w14:paraId="6C39F81C" w14:textId="7BF1473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IROJ WG Toegang/SOKA</w:t>
            </w:r>
          </w:p>
          <w:p w:rsidR="008339AF" w:rsidP="004A2A98" w:rsidRDefault="008339AF" w14:paraId="1E16284D" w14:textId="5314DB2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8339AF" w:rsidP="004A2A98" w:rsidRDefault="008339AF" w14:paraId="622938F1" w14:textId="627A6F7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8339AF" w:rsidP="004A2A98" w:rsidRDefault="008339AF" w14:paraId="0E12C9A7" w14:textId="01CEBF9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8339AF" w:rsidP="004A2A98" w:rsidRDefault="008339AF" w14:paraId="7398FF56" w14:textId="4F886D4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8339AF" w:rsidP="004A2A98" w:rsidRDefault="00E5711D" w14:paraId="3FD4D78B" w14:textId="2423035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OSD/VK/Parket</w:t>
            </w:r>
            <w:r w:rsidR="00586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/</w:t>
            </w:r>
          </w:p>
          <w:p w:rsidR="00E5711D" w:rsidP="004A2A98" w:rsidRDefault="00E5711D" w14:paraId="5B3E9E82" w14:textId="0C53D46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E878CA" w:rsidR="00E1219A" w:rsidP="56794FF7" w:rsidRDefault="00A736BB" w14:paraId="6BE79308" w14:textId="7C68E33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>Platform MJ</w:t>
            </w:r>
            <w:r w:rsidRPr="56794FF7" w:rsidR="006265A7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>-wg handicapspe</w:t>
            </w:r>
            <w:r w:rsidRPr="56794FF7" w:rsidR="00E878CA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>cificiteit-Danny Aelvoet</w:t>
            </w:r>
          </w:p>
          <w:p w:rsidRPr="00E878CA" w:rsidR="00E1219A" w:rsidP="56794FF7" w:rsidRDefault="081A2F43" w14:paraId="66999F45" w14:textId="78FF7DE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>Daphne</w:t>
            </w:r>
          </w:p>
        </w:tc>
      </w:tr>
      <w:tr w:rsidRPr="004A2A98" w:rsidR="00782C92" w:rsidTr="3369F2B3" w14:paraId="5859798B" w14:textId="0013A06C">
        <w:trPr>
          <w:trHeight w:val="300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147AE14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  <w:t>CONTINUÏTEIT</w:t>
            </w: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  <w:p w:rsidRPr="004A2A98" w:rsidR="00782C92" w:rsidP="004A2A98" w:rsidRDefault="00782C92" w14:paraId="4921602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  <w:p w:rsidRPr="004A2A98" w:rsidR="00782C92" w:rsidP="004A2A98" w:rsidRDefault="00782C92" w14:paraId="207349B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01E06B4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zorgt voor </w:t>
            </w:r>
            <w:r w:rsidRPr="004A2A98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continuïteit</w:t>
            </w: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in de Oost-Vlaamse Jeugdhulp  </w:t>
            </w:r>
          </w:p>
          <w:p w:rsidRPr="004926B2" w:rsidR="00782C92" w:rsidP="3369F2B3" w:rsidRDefault="00782C92" w14:paraId="1980E65A" w14:textId="4A160D13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i w:val="1"/>
                <w:iCs w:val="1"/>
                <w:sz w:val="20"/>
                <w:szCs w:val="20"/>
                <w:lang w:eastAsia="nl-BE"/>
              </w:rPr>
            </w:pPr>
            <w:r w:rsidRPr="3369F2B3" w:rsidR="00782C92">
              <w:rPr>
                <w:rFonts w:ascii="Calibri" w:hAnsi="Calibri" w:eastAsia="Times New Roman" w:cs="Calibri"/>
                <w:i w:val="0"/>
                <w:iCs w:val="0"/>
                <w:sz w:val="20"/>
                <w:szCs w:val="20"/>
                <w:lang w:eastAsia="nl-BE"/>
              </w:rPr>
              <w:t>Het IROJ OVL ondersteunt de transitie naar gezinshuizen/hub werking</w:t>
            </w:r>
            <w:r w:rsidRPr="3369F2B3" w:rsidR="00782C92">
              <w:rPr>
                <w:rFonts w:ascii="Calibri" w:hAnsi="Calibri" w:eastAsia="Times New Roman" w:cs="Calibri"/>
                <w:i w:val="1"/>
                <w:iCs w:val="1"/>
                <w:sz w:val="20"/>
                <w:szCs w:val="20"/>
                <w:lang w:eastAsia="nl-BE"/>
              </w:rPr>
              <w:t> </w:t>
            </w:r>
          </w:p>
          <w:p w:rsidRPr="00586FF7" w:rsidR="00782C92" w:rsidRDefault="00782C92" w14:paraId="40EDE7BF" w14:textId="2EB2B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00887A19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 vernauwt de connectie met de Oost-Vlaamse onderwijspartners</w:t>
            </w:r>
            <w:r w:rsidR="00586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00586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(06/03/2023) en werkt vervolgacties uit</w:t>
            </w:r>
          </w:p>
          <w:p w:rsidRPr="001D4556" w:rsidR="00782C92" w:rsidRDefault="00782C92" w14:paraId="115A82D2" w14:textId="36F46C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biedt  </w:t>
            </w:r>
            <w:r w:rsidRPr="56794FF7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thematische vormingen</w:t>
            </w: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aan</w:t>
            </w:r>
            <w:r w:rsidRPr="56794FF7" w:rsidR="001D4556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in 2023 </w:t>
            </w:r>
            <w:r w:rsidRPr="56794FF7" w:rsidR="001D4556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(</w:t>
            </w: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Hoe kunnen we expertise/aanpak tss regionale partners op elkaar afstemmen</w:t>
            </w:r>
            <w:r w:rsidRPr="56794FF7" w:rsidR="001D4556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, </w:t>
            </w: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Landschap jeugdhulp meenemen in recente tendenzen/state of the art,  laatste evoluties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82C92" w:rsidP="004A2A98" w:rsidRDefault="00782C92" w14:paraId="2BEF16C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A736BB" w:rsidP="004A2A98" w:rsidRDefault="005A45E6" w14:paraId="6E0196D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Prov overleg GZ</w:t>
            </w:r>
          </w:p>
          <w:p w:rsidR="001D4556" w:rsidP="004A2A98" w:rsidRDefault="00586FF7" w14:paraId="0CE54D86" w14:textId="7551E4F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586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Daphne</w:t>
            </w:r>
            <w:r w:rsidRPr="3369F2B3" w:rsidR="7A5FF364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/ Stefaan/ Alain</w:t>
            </w:r>
          </w:p>
          <w:p w:rsidR="3369F2B3" w:rsidP="3369F2B3" w:rsidRDefault="3369F2B3" w14:paraId="065B787E" w14:textId="49505C1F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1D4556" w:rsidP="3369F2B3" w:rsidRDefault="001D4556" w14:paraId="2BAF4F83" w14:textId="4F45F1A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1D4556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WG vormingen</w:t>
            </w:r>
          </w:p>
          <w:p w:rsidRPr="004A2A98" w:rsidR="001D4556" w:rsidP="3369F2B3" w:rsidRDefault="001D4556" w14:paraId="0BFE04E3" w14:textId="0C1D6F9D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5D0CB033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Joy, Ilse, Tim, Gijs, Karin, Carl</w:t>
            </w:r>
          </w:p>
        </w:tc>
      </w:tr>
      <w:tr w:rsidRPr="004A2A98" w:rsidR="00782C92" w:rsidTr="3369F2B3" w14:paraId="7178624C" w14:textId="4401953B">
        <w:trPr>
          <w:trHeight w:val="300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7B98BFB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b/>
                <w:bCs/>
                <w:lang w:eastAsia="nl-BE"/>
              </w:rPr>
              <w:t>PARTICIPATIE</w:t>
            </w:r>
            <w:r w:rsidRPr="004A2A98">
              <w:rPr>
                <w:rFonts w:ascii="Calibri" w:hAnsi="Calibri" w:eastAsia="Times New Roman" w:cs="Calibri"/>
                <w:lang w:eastAsia="nl-BE"/>
              </w:rPr>
              <w:t> </w:t>
            </w:r>
          </w:p>
          <w:p w:rsidRPr="004A2A98" w:rsidR="00782C92" w:rsidP="004A2A98" w:rsidRDefault="00782C92" w14:paraId="2E005AE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5EAC0E08" w14:textId="1525B2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zorgt voor maximale </w:t>
            </w:r>
            <w:r w:rsidRPr="004A2A98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participatie</w:t>
            </w: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aan de Oost-Vlaamse </w:t>
            </w:r>
            <w:r w:rsidR="00E959AA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JH</w:t>
            </w: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  </w:t>
            </w:r>
          </w:p>
          <w:p w:rsidRPr="00A80590" w:rsidR="00782C92" w:rsidRDefault="00782C92" w14:paraId="09A33901" w14:textId="05B90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versterkt </w:t>
            </w:r>
            <w:r w:rsidRPr="56794FF7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cliëntenparticipatie</w:t>
            </w: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(stem van de cliënten) in de uitbouw van haar IROJ werking zodat dit een normale en geautomatiseerde reflex is. </w:t>
            </w:r>
          </w:p>
          <w:p w:rsidRPr="008C2889" w:rsidR="009F212E" w:rsidRDefault="00782C92" w14:paraId="64782D8D" w14:textId="557779D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sensibliseert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ism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iroj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wg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participatie jeugdhulporganisatie/-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diensten om cliëntparticipatie te verhogen 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(herhaling tools/opmaak beleid)</w:t>
            </w:r>
            <w:r w:rsidRPr="3369F2B3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 </w:t>
            </w:r>
            <w:r w:rsidRPr="3369F2B3" w:rsidR="002F65FE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–</w:t>
            </w:r>
            <w:r w:rsidRPr="3369F2B3" w:rsidR="007615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3369F2B3" w:rsidR="00761592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>inspiratiedagen</w:t>
            </w:r>
            <w:r w:rsidRPr="3369F2B3" w:rsidR="004E1369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 xml:space="preserve"> participatieve basishouding</w:t>
            </w:r>
            <w:r w:rsidRPr="3369F2B3" w:rsidR="002F65FE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 xml:space="preserve"> (</w:t>
            </w:r>
            <w:r w:rsidRPr="3369F2B3" w:rsidR="002F65FE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>grabbelbox</w:t>
            </w:r>
            <w:r w:rsidRPr="3369F2B3" w:rsidR="002F65FE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nl-BE"/>
              </w:rPr>
              <w:t>, vlaamse participatiewebsite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82C92" w:rsidP="004A2A98" w:rsidRDefault="00E959AA" w14:paraId="41F1BE0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ELK IROJ Lid</w:t>
            </w:r>
          </w:p>
          <w:p w:rsidR="00E959AA" w:rsidP="004A2A98" w:rsidRDefault="00E959AA" w14:paraId="06B59FD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E959AA" w:rsidP="004A2A98" w:rsidRDefault="00E959AA" w14:paraId="2C9F19B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E959AA" w:rsidP="004A2A98" w:rsidRDefault="00E959AA" w14:paraId="010C440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E959AA" w:rsidP="004A2A98" w:rsidRDefault="00E959AA" w14:paraId="7D27970C" w14:textId="63874C1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WG participatie</w:t>
            </w:r>
          </w:p>
          <w:p w:rsidR="00E959AA" w:rsidP="004A2A98" w:rsidRDefault="00E959AA" w14:paraId="462AB5C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6265A7" w:rsidP="004A2A98" w:rsidRDefault="006265A7" w14:paraId="55FEA41D" w14:textId="79D3876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8C2889" w:rsidP="004A2A98" w:rsidRDefault="008C2889" w14:paraId="42FD9B6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E959AA" w:rsidP="004A2A98" w:rsidRDefault="00013C1D" w14:paraId="0BC6CD42" w14:textId="1F627D3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</w:tc>
      </w:tr>
      <w:tr w:rsidRPr="004A2A98" w:rsidR="00782C92" w:rsidTr="3369F2B3" w14:paraId="57E7D5EA" w14:textId="200F0962">
        <w:trPr>
          <w:trHeight w:val="300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325FE2E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  <w:t>VERONTRUSTING</w:t>
            </w: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  <w:p w:rsidRPr="004A2A98" w:rsidR="00782C92" w:rsidP="004A2A98" w:rsidRDefault="00782C92" w14:paraId="2390F4A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  <w:p w:rsidRPr="004A2A98" w:rsidR="00782C92" w:rsidP="004A2A98" w:rsidRDefault="00782C92" w14:paraId="0B06E67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22C337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inspireert Oost-Vlaamse jeugdhulppartners omtrent omgaan met </w:t>
            </w:r>
            <w:r w:rsidRPr="004A2A98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verontrustende situaties</w:t>
            </w: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 </w:t>
            </w:r>
          </w:p>
          <w:p w:rsidR="00782C92" w:rsidRDefault="00291431" w14:paraId="0F9E26AF" w14:textId="2541D3C6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29143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 organiseert casustafels verontrusting</w:t>
            </w:r>
          </w:p>
          <w:p w:rsidRPr="002B4FEA" w:rsidR="00782C92" w:rsidRDefault="00782C92" w14:paraId="2A4F7EB9" w14:textId="7E29408C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organiseert 3 </w:t>
            </w:r>
            <w:r w:rsidRPr="004A2A98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 xml:space="preserve">bijscholingsmomenten omtrent HCS voor </w:t>
            </w:r>
          </w:p>
          <w:p w:rsidRPr="004A2A98" w:rsidR="00782C92" w:rsidP="00291431" w:rsidRDefault="00782C92" w14:paraId="3643300B" w14:textId="5FEE2619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 xml:space="preserve">        </w:t>
            </w:r>
            <w:r w:rsidRPr="004A2A98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onderwijsactoren en kinderopvanginitiatieven</w:t>
            </w: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 </w:t>
            </w:r>
          </w:p>
          <w:p w:rsidRPr="00A80590" w:rsidR="00782C92" w:rsidRDefault="00782C92" w14:paraId="7F7BB30C" w14:textId="499FDF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00A80590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organiseert een </w:t>
            </w:r>
            <w:r w:rsidRPr="00A80590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 xml:space="preserve">bijscholingsmoment HCS voor  </w:t>
            </w:r>
          </w:p>
          <w:p w:rsidRPr="004A2A98" w:rsidR="00782C92" w:rsidP="00291431" w:rsidRDefault="00782C92" w14:paraId="4A96DB28" w14:textId="3A4EB120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 xml:space="preserve">        </w:t>
            </w:r>
            <w:r w:rsidRPr="004A2A98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jeugdhulpverleners</w:t>
            </w: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</w:p>
          <w:p w:rsidRPr="00A80590" w:rsidR="00B965A7" w:rsidRDefault="00782C92" w14:paraId="70DC42B7" w14:textId="6B8AD3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00A80590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ontwikkelt </w:t>
            </w:r>
            <w:r w:rsidRPr="00A80590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tools voor beroepsbeoefenaars</w:t>
            </w:r>
            <w:r w:rsidRPr="00A80590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in de</w:t>
            </w:r>
            <w:r w:rsidRPr="00A80590" w:rsidR="00B965A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</w:p>
          <w:p w:rsidRPr="004A2A98" w:rsidR="00782C92" w:rsidP="00B965A7" w:rsidRDefault="00B965A7" w14:paraId="18625A1C" w14:textId="43E3ED92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 </w:t>
            </w:r>
            <w:r w:rsidRPr="004A2A98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gezondheidszorg ter preventie van HCS </w:t>
            </w:r>
          </w:p>
          <w:p w:rsidRPr="00A80590" w:rsidR="00782C92" w:rsidRDefault="00782C92" w14:paraId="1F145308" w14:textId="7FBBEF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00A80590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</w:t>
            </w:r>
            <w:r w:rsidRPr="00A80590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implementeert de intersectorale visietekst</w:t>
            </w:r>
            <w:r w:rsidRPr="00A80590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omtrent </w:t>
            </w:r>
          </w:p>
          <w:p w:rsidR="00A80590" w:rsidP="002B4FEA" w:rsidRDefault="00782C92" w14:paraId="3ACFA49E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</w:t>
            </w: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(hoog)conflictueuze/complexe scheidingen bij diverse</w:t>
            </w:r>
            <w:r w:rsidR="00A80590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</w:p>
          <w:p w:rsidRPr="004A2A98" w:rsidR="00782C92" w:rsidP="00A80590" w:rsidRDefault="00A80590" w14:paraId="63F20CF4" w14:textId="5D765BCC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 </w:t>
            </w:r>
            <w:r w:rsidRPr="004A2A98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jeugdhulpverleners </w:t>
            </w:r>
            <w:r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 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82C92" w:rsidP="004A2A98" w:rsidRDefault="00782C92" w14:paraId="2600BA1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291431" w:rsidP="004A2A98" w:rsidRDefault="00291431" w14:paraId="538FC32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="00291431" w:rsidP="004A2A98" w:rsidRDefault="00291431" w14:paraId="63D9894E" w14:textId="4B9910F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3369F2B3" w:rsidR="0029143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OSD</w:t>
            </w:r>
            <w:r w:rsidRPr="3369F2B3" w:rsidR="48A81D7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/VK</w:t>
            </w:r>
          </w:p>
          <w:p w:rsidR="00A80590" w:rsidP="00A80590" w:rsidRDefault="00291431" w14:paraId="2D76B49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</w:pPr>
            <w:r w:rsidRPr="00A80590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>CAW - wg HCS preventie</w:t>
            </w:r>
            <w:r w:rsidR="00A80590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 xml:space="preserve"> </w:t>
            </w:r>
          </w:p>
          <w:p w:rsidR="00291431" w:rsidP="00A80590" w:rsidRDefault="00291431" w14:paraId="5C82AB6D" w14:textId="7D15477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</w:pPr>
            <w:r w:rsidRPr="00A80590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>CAW - wg HCS preventie</w:t>
            </w:r>
            <w:r w:rsidRPr="00A80590" w:rsidR="00B965A7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 xml:space="preserve">+ </w:t>
            </w:r>
            <w:r w:rsidR="00A80590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>’</w:t>
            </w:r>
            <w:r w:rsidRPr="00A80590" w:rsidR="00B965A7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>t zitemzo</w:t>
            </w:r>
          </w:p>
          <w:p w:rsidR="00A80590" w:rsidP="00A80590" w:rsidRDefault="00A80590" w14:paraId="7318D6B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nl-BE"/>
              </w:rPr>
            </w:pPr>
          </w:p>
          <w:p w:rsidR="00A80590" w:rsidP="00A80590" w:rsidRDefault="00A80590" w14:paraId="1AF1A8C2" w14:textId="71E6569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</w:pPr>
            <w:r w:rsidRPr="00A80590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>CAW - wg HCS preventie</w:t>
            </w:r>
            <w:r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 xml:space="preserve"> </w:t>
            </w:r>
          </w:p>
          <w:p w:rsidR="00A80590" w:rsidP="00A80590" w:rsidRDefault="00A80590" w14:paraId="2C94A6F0" w14:textId="5DD5152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</w:pPr>
          </w:p>
          <w:p w:rsidRPr="00291431" w:rsidR="00A80590" w:rsidP="00A80590" w:rsidRDefault="00A80590" w14:paraId="7BE7C61F" w14:textId="078B590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nl-BE"/>
              </w:rPr>
            </w:pPr>
            <w:r w:rsidRPr="00A80590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 xml:space="preserve">CAW </w:t>
            </w:r>
            <w:r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>–</w:t>
            </w:r>
            <w:r w:rsidRPr="00A80590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 xml:space="preserve"> </w:t>
            </w:r>
            <w:r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 xml:space="preserve">stuurgroep </w:t>
            </w:r>
            <w:r w:rsidRPr="00A80590">
              <w:rPr>
                <w:rFonts w:ascii="Calibri" w:hAnsi="Calibri" w:eastAsia="Times New Roman" w:cs="Calibri"/>
                <w:sz w:val="16"/>
                <w:szCs w:val="16"/>
                <w:lang w:eastAsia="nl-BE"/>
              </w:rPr>
              <w:t xml:space="preserve"> HCS </w:t>
            </w:r>
          </w:p>
        </w:tc>
      </w:tr>
      <w:tr w:rsidRPr="004A2A98" w:rsidR="00782C92" w:rsidTr="3369F2B3" w14:paraId="47DB497E" w14:textId="600BA52B">
        <w:trPr>
          <w:trHeight w:val="300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82C92" w:rsidP="004A2A98" w:rsidRDefault="00782C92" w14:paraId="581EA3B4" w14:textId="77777777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  <w:t>ADVISERING</w:t>
            </w:r>
          </w:p>
          <w:p w:rsidRPr="004A2A98" w:rsidR="00782C92" w:rsidP="004A2A98" w:rsidRDefault="00782C92" w14:paraId="740653B6" w14:textId="72F5BB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  <w:t>/CIJFERS</w:t>
            </w: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31C667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neemt haar rol op in </w:t>
            </w:r>
            <w:r w:rsidRPr="004A2A98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de beleidscyclus</w:t>
            </w: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mbt Oost-Vlaams uitbreidingsbeleid en stuurt zo de jeugdhulpverlening is haar regio mee aan </w:t>
            </w:r>
          </w:p>
          <w:p w:rsidRPr="004A2A98" w:rsidR="00782C92" w:rsidRDefault="00782C92" w14:paraId="238DBDD9" w14:textId="4304D3F0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color w:val="00B0F0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adviseert uitbreiding- en reconversievragen </w:t>
            </w:r>
          </w:p>
          <w:p w:rsidRPr="004A2A98" w:rsidR="00782C92" w:rsidRDefault="00782C92" w14:paraId="08611CC5" w14:textId="45F064D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De voorzitter en beleidsmedewerker opgroeien nemen deel aan het </w:t>
            </w:r>
          </w:p>
          <w:p w:rsidRPr="004A2A98" w:rsidR="00782C92" w:rsidP="56794FF7" w:rsidRDefault="57E93F76" w14:paraId="0FB90401" w14:textId="1622BB3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        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Vlaams voorzittersoverleg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A2A98" w:rsidR="00782C92" w:rsidP="56794FF7" w:rsidRDefault="00782C92" w14:paraId="5686D38C" w14:textId="6BEF777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56794FF7" w:rsidRDefault="00782C92" w14:paraId="67848AF1" w14:textId="4397D07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56794FF7" w:rsidRDefault="05F38ACC" w14:paraId="2476E645" w14:textId="24AD5B5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WG p&amp;a</w:t>
            </w:r>
          </w:p>
          <w:p w:rsidRPr="004A2A98" w:rsidR="00782C92" w:rsidP="56794FF7" w:rsidRDefault="5206DB34" w14:paraId="39CC57E2" w14:textId="7E1F998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Daphne en Bert</w:t>
            </w:r>
          </w:p>
        </w:tc>
      </w:tr>
      <w:tr w:rsidRPr="004A2A98" w:rsidR="00782C92" w:rsidTr="3369F2B3" w14:paraId="15F0AD8C" w14:textId="1AC34432">
        <w:trPr>
          <w:trHeight w:val="300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429F4A4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  <w:t>CRISIS</w:t>
            </w: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  <w:p w:rsidRPr="004A2A98" w:rsidR="00782C92" w:rsidP="004A2A98" w:rsidRDefault="00782C92" w14:paraId="73F1680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  <w:p w:rsidRPr="004A2A98" w:rsidR="00782C92" w:rsidP="004A2A98" w:rsidRDefault="00782C92" w14:paraId="0F308D0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549F90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werkt een Oost-Vlaams </w:t>
            </w:r>
            <w:r w:rsidRPr="004A2A98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crisisbeleid</w:t>
            </w: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uit </w:t>
            </w:r>
          </w:p>
          <w:p w:rsidRPr="004A2A98" w:rsidR="00782C92" w:rsidRDefault="00782C92" w14:paraId="08898038" w14:textId="77777777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 wil Oost-Vlaams crisisnetwerk ondersteunen </w:t>
            </w:r>
          </w:p>
          <w:p w:rsidRPr="004A2A98" w:rsidR="00782C92" w:rsidP="004A2A98" w:rsidRDefault="00782C92" w14:paraId="1E089D11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Crisis (wachtenden bundelen tav nieuwkomers/mensen in precaire verblijfsituaties, crisisaanbod/crisisexpertise voor elke IJH sector, omgaan met wachtlijsten/prioriteren ikv zorggarantie,...) </w:t>
            </w:r>
          </w:p>
          <w:p w:rsidR="00782C92" w:rsidRDefault="00782C92" w14:paraId="679D0E46" w14:textId="77777777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Wg oprichten om ambulante diensten als aanbod na crisis te </w:t>
            </w:r>
          </w:p>
          <w:p w:rsidRPr="004A2A98" w:rsidR="00782C92" w:rsidP="56794FF7" w:rsidRDefault="00782C92" w14:paraId="21936128" w14:textId="3DC21836">
            <w:pPr>
              <w:spacing w:after="0" w:line="240" w:lineRule="auto"/>
              <w:ind w:left="108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versterken en zo netwerkversterkend te gaan werken (nu te </w:t>
            </w:r>
          </w:p>
          <w:p w:rsidRPr="004A2A98" w:rsidR="00782C92" w:rsidP="000247A2" w:rsidRDefault="586D7198" w14:paraId="4B7E5BE8" w14:textId="6BAC4389">
            <w:pPr>
              <w:spacing w:after="0" w:line="240" w:lineRule="auto"/>
              <w:ind w:left="108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veel uitstroom naar verblijf) </w:t>
            </w:r>
          </w:p>
          <w:p w:rsidRPr="004A2A98" w:rsidR="00782C92" w:rsidRDefault="00782C92" w14:paraId="4998BF1A" w14:textId="77777777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Afspraken maken rond responstijd </w:t>
            </w:r>
          </w:p>
          <w:p w:rsidRPr="004A2A98" w:rsidR="00782C92" w:rsidRDefault="50D453AF" w14:paraId="03E830E6" w14:textId="39B555B2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 signaleert de beperkte kleine k capaciteit in OVL</w:t>
            </w:r>
            <w:r w:rsidRPr="4469F881" w:rsidR="2D7090AB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(laagste in Vlaanderen, ondanks recente uitbreiding), bij oproep kleine k’s heeft  men dit niet ingepland in ZOVL maar in PC Sleidinge) </w:t>
            </w:r>
          </w:p>
          <w:p w:rsidRPr="002B4FEA" w:rsidR="00782C92" w:rsidRDefault="50D453AF" w14:paraId="551AF691" w14:textId="19C51DE9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 bouwt verder aan een </w:t>
            </w:r>
            <w:r w:rsidRPr="4469F881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 xml:space="preserve">transparant </w:t>
            </w:r>
          </w:p>
          <w:p w:rsidRPr="004A2A98" w:rsidR="00782C92" w:rsidP="56794FF7" w:rsidRDefault="00782C92" w14:paraId="1BE87579" w14:textId="3A519D5E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 xml:space="preserve">         registratiesysteem</w:t>
            </w: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(RADAR crisis en crisis Integrale jeugdhulp) met </w:t>
            </w:r>
            <w:r w:rsidRPr="56794FF7" w:rsidR="75E09740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</w:p>
          <w:p w:rsidRPr="004A2A98" w:rsidR="00782C92" w:rsidP="56794FF7" w:rsidRDefault="75E09740" w14:paraId="602FEAA1" w14:textId="124F92C6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 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oog op het </w:t>
            </w:r>
            <w:r w:rsidRPr="56794FF7" w:rsidR="00782C92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 xml:space="preserve">  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verfijnen van analyses, onderbouwen van signalen en </w:t>
            </w:r>
          </w:p>
          <w:p w:rsidRPr="004A2A98" w:rsidR="00782C92" w:rsidP="002B4FEA" w:rsidRDefault="387F4128" w14:paraId="7DA8A2F8" w14:textId="338981E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56794FF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 </w:t>
            </w:r>
            <w:r w:rsidRPr="56794FF7" w:rsidR="00782C9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nodendetectie.  </w:t>
            </w:r>
          </w:p>
          <w:p w:rsidRPr="004A2A98" w:rsidR="00782C92" w:rsidRDefault="50D453AF" w14:paraId="4FB0F960" w14:textId="75551DA8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volgt de ontwikkelingen naar nieuwe </w:t>
            </w:r>
          </w:p>
          <w:p w:rsidRPr="004A2A98" w:rsidR="00782C92" w:rsidP="4469F881" w:rsidRDefault="5A6718B8" w14:paraId="026342B9" w14:textId="40DFC9E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        </w:t>
            </w:r>
            <w:r w:rsidRPr="4469F881" w:rsidR="50D453AF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structuur in </w:t>
            </w:r>
            <w:r w:rsidRPr="4469F881" w:rsidR="50D453AF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het netwerk RADAR</w:t>
            </w:r>
            <w:r w:rsidRPr="4469F881" w:rsidR="50D453AF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op en stemt deze af met de </w:t>
            </w:r>
            <w:r w:rsidRPr="4469F881" w:rsidR="731073FA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</w:p>
          <w:p w:rsidRPr="004A2A98" w:rsidR="00782C92" w:rsidP="56794FF7" w:rsidRDefault="731073FA" w14:paraId="498105DF" w14:textId="01A4A12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              </w:t>
            </w:r>
            <w:r w:rsidRPr="4469F881" w:rsidR="50D453AF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structuur </w:t>
            </w:r>
            <w:r w:rsidRPr="4469F881" w:rsidR="6F394CC6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</w:t>
            </w:r>
            <w:r w:rsidRPr="4469F881" w:rsidR="50D453AF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in het </w:t>
            </w:r>
            <w:r w:rsidRPr="4469F881" w:rsidR="50D453AF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 xml:space="preserve"> </w:t>
            </w:r>
            <w:r w:rsidRPr="4469F881" w:rsidR="50D453AF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crisisnetwerk.   </w:t>
            </w:r>
          </w:p>
          <w:p w:rsidRPr="004A2A98" w:rsidR="00782C92" w:rsidRDefault="50D453AF" w14:paraId="75CB0690" w14:textId="705593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 volgt de ontwikkelingen met betrekking tot de</w:t>
            </w:r>
            <w:r w:rsidRPr="4469F881" w:rsidR="136F5866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inzet van de tijdelijke middelen voor extra crisisbegeleidingen op.  </w:t>
            </w:r>
          </w:p>
          <w:p w:rsidRPr="004A2A98" w:rsidR="00782C92" w:rsidRDefault="50D453AF" w14:paraId="08C7B841" w14:textId="68F90F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</w:t>
            </w:r>
            <w:r w:rsidRPr="4469F881" w:rsidR="132999A8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volgt de beleidsontwikkelingen, omtrent de  taskforce crisis jeugdhulp, een nieuw en geïntegreerd beleid voor kinderen</w:t>
            </w:r>
            <w:r w:rsidRPr="4469F881" w:rsidR="23DDCBA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,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jongeren en gezinnen (Vroeg &amp; Nabij), de Vlaamse referentieregio’s, het</w:t>
            </w:r>
            <w:r w:rsidRPr="4469F881" w:rsidR="005CA1AD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nieuwe Jeugddelinquentierecht en Veilig Verblijf op. Het PNSGC bekijkt wat de impact hiervan is op het crisisnetwerk.  </w:t>
            </w:r>
          </w:p>
          <w:p w:rsidRPr="004A2A98" w:rsidR="00782C92" w:rsidRDefault="50D453AF" w14:paraId="70F4457D" w14:textId="355AFF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ondersteunt de verdere implementatie </w:t>
            </w:r>
            <w:r w:rsidRPr="4469F881" w:rsidR="3DED4BD2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van het gedachtegoed van 'Signs of Safety' in het crisisnetwerk.  </w:t>
            </w:r>
          </w:p>
          <w:p w:rsidRPr="004A2A98" w:rsidR="00782C92" w:rsidRDefault="50D453AF" w14:paraId="661ACF3C" w14:textId="78C46B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 ontwikkelt acties om medewerkers van he</w:t>
            </w:r>
            <w:r w:rsidRPr="4469F881" w:rsidR="0F7938E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t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crisisnetwerk Oost-Vlaanderen te ondersteunen, energie te geven en hen t</w:t>
            </w:r>
            <w:r w:rsidRPr="4469F881" w:rsidR="18751A55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e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 versterken.  </w:t>
            </w:r>
          </w:p>
          <w:p w:rsidRPr="004A2A98" w:rsidR="00782C92" w:rsidRDefault="50D453AF" w14:paraId="2D8D1055" w14:textId="386F7F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 (ism De PNSGC en suïcidepreventie van cgg Adentro)  faciliteer</w:t>
            </w:r>
            <w:r w:rsidRPr="4469F881" w:rsidR="68AC4F3F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t 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een eerste vormingsaanbod suïcidepreventie voor voorzieningen in OVL (540</w:t>
            </w:r>
            <w:r w:rsidRPr="4469F881" w:rsidR="6ECBAB79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euro per dagdeel/15 p) + catering </w:t>
            </w:r>
          </w:p>
          <w:p w:rsidRPr="004A2A98" w:rsidR="00782C92" w:rsidRDefault="50D453AF" w14:paraId="17B85710" w14:textId="7403D4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 (ism De PNSGC)  organiseert een uitwisselingsdag  (delen en inspireren) van ervaringen en van verschillende tools die gebruikt worden rond</w:t>
            </w:r>
            <w:r w:rsidRPr="4469F881" w:rsidR="5AF7FB4C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crisis voor aanbieders als voor aanmelders (en eventueel ook voor jongeren) met de focus op ‘Crisis’. 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A2A98" w:rsidR="00782C92" w:rsidP="4469F881" w:rsidRDefault="00782C92" w14:paraId="31CFBE34" w14:textId="11062A4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43C05FD1" w14:textId="4B98EF4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038B1D8F" w14:textId="29FBC3D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596DE7D6" w14:textId="50CE401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19CE1E43" w14:textId="095DF90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03B1AF1A" w14:textId="5ED4AAF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482C6D7E" w14:textId="3EC55D7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14991C47" w14:textId="4B5B869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4FBD8E25" w14:textId="2986988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517D7892" w14:textId="5EBE123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4E1455AA" w14:textId="45A7F59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0ADA24F8" w14:textId="6AD7163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72E7856C" w14:textId="3C1A19A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33D7270F" w14:paraId="2BCEF259" w14:textId="3A43D8C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PNSGC</w:t>
            </w:r>
          </w:p>
          <w:p w:rsidRPr="004A2A98" w:rsidR="00782C92" w:rsidP="4469F881" w:rsidRDefault="00782C92" w14:paraId="6ECDA95F" w14:textId="5A60495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74848B89" w14:textId="78E100E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2ABA5B0E" w14:paraId="642CCD89" w14:textId="3CEECBA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PNSGC</w:t>
            </w:r>
          </w:p>
          <w:p w:rsidRPr="004A2A98" w:rsidR="00782C92" w:rsidP="4469F881" w:rsidRDefault="00782C92" w14:paraId="3F0D908C" w14:textId="6A107C4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12B545F9" w14:textId="5D54CC6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19EFB828" w14:textId="6CD0253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2ABA5B0E" w14:paraId="0CB2D85F" w14:textId="3CEECBA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PNSGC</w:t>
            </w:r>
          </w:p>
          <w:p w:rsidRPr="004A2A98" w:rsidR="00782C92" w:rsidP="4469F881" w:rsidRDefault="00782C92" w14:paraId="0D7EB402" w14:textId="32DE0D1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2ABA5B0E" w14:paraId="26137EE6" w14:textId="3CEECBA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PNSGC</w:t>
            </w:r>
          </w:p>
          <w:p w:rsidRPr="004A2A98" w:rsidR="00782C92" w:rsidP="4469F881" w:rsidRDefault="00782C92" w14:paraId="145DA1D8" w14:textId="5B83C49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1D9B0D2C" w14:textId="69346A8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6F987E51" w14:textId="364A780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2ABA5B0E" w14:paraId="7F1C84EA" w14:textId="3CEECBA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PNSGC</w:t>
            </w:r>
          </w:p>
          <w:p w:rsidRPr="004A2A98" w:rsidR="00782C92" w:rsidP="4469F881" w:rsidRDefault="00782C92" w14:paraId="18AA941B" w14:textId="7B5D555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09F32A48" w14:textId="6F7D478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2ABA5B0E" w14:paraId="0EE2D788" w14:textId="3CEECBA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PNSGC</w:t>
            </w:r>
          </w:p>
          <w:p w:rsidRPr="004A2A98" w:rsidR="00782C92" w:rsidP="4469F881" w:rsidRDefault="00782C92" w14:paraId="7B9786C2" w14:textId="220E061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2ABA5B0E" w14:paraId="6EF92BA9" w14:textId="3CEECBA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PNSGC</w:t>
            </w:r>
          </w:p>
          <w:p w:rsidRPr="004A2A98" w:rsidR="00782C92" w:rsidP="4469F881" w:rsidRDefault="00782C92" w14:paraId="0EBA83A9" w14:textId="36F963E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4224875A" w14:textId="3CD3665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2ABA5B0E" w14:paraId="31FF9C58" w14:textId="3CEECBA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PNSGC</w:t>
            </w:r>
          </w:p>
          <w:p w:rsidRPr="004A2A98" w:rsidR="00782C92" w:rsidP="4469F881" w:rsidRDefault="00782C92" w14:paraId="38D5E856" w14:textId="6747890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14DA0803" w14:textId="7B70B2A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501BEDF5" w14:textId="218FC79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</w:tc>
      </w:tr>
      <w:tr w:rsidRPr="004A2A98" w:rsidR="00782C92" w:rsidTr="3369F2B3" w14:paraId="72DD7BE5" w14:textId="16639E50">
        <w:trPr>
          <w:trHeight w:val="300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004A2A98" w:rsidRDefault="00782C92" w14:paraId="4D3E983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BE"/>
              </w:rPr>
            </w:pPr>
            <w:r w:rsidRPr="004A2A98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nl-BE"/>
              </w:rPr>
              <w:t>Algemene organisatie</w:t>
            </w:r>
            <w:r w:rsidRPr="004A2A98">
              <w:rPr>
                <w:rFonts w:ascii="Calibri" w:hAnsi="Calibri" w:eastAsia="Times New Roman" w:cs="Calibr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A2A98" w:rsidR="00782C92" w:rsidP="4469F881" w:rsidRDefault="50D453AF" w14:paraId="756182D0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Het IROJ OVL </w:t>
            </w:r>
            <w:r w:rsidRPr="4469F881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nl-BE"/>
              </w:rPr>
              <w:t>organiseert zichtzelf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om de doelstellingen uit het decreet IJH te helpen waarmaken </w:t>
            </w:r>
          </w:p>
          <w:p w:rsidRPr="004A2A98" w:rsidR="00782C92" w:rsidRDefault="50D453AF" w14:paraId="5ADF7D94" w14:textId="55E804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 evalueert en verbetert haar werking continu </w:t>
            </w:r>
            <w:r w:rsidRPr="4469F881" w:rsidR="229EC2F3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(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actualiseert haar website en sharepoint</w:t>
            </w:r>
            <w:r w:rsidRPr="4469F881" w:rsidR="1CBC5EB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, 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informeert nieuwe leden via een starterskit</w:t>
            </w:r>
            <w:r w:rsidRPr="4469F881" w:rsidR="2D1D96C4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/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 xml:space="preserve"> persoonlijk gesprek</w:t>
            </w:r>
            <w:r w:rsidRPr="4469F881" w:rsidR="3CB99247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)</w:t>
            </w: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 </w:t>
            </w:r>
          </w:p>
          <w:p w:rsidRPr="004A2A98" w:rsidR="00782C92" w:rsidRDefault="50D453AF" w14:paraId="1067A2CE" w14:textId="761B957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Het IROJ OVL stimuleert intersectoraal beleidsmatig structureel overleg  tot zelfevaluatie via de IROJ overlegkaarten samengevat in een  overzichtelijk organogram. (Daphne) 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A2A98" w:rsidR="00782C92" w:rsidP="4469F881" w:rsidRDefault="00782C92" w14:paraId="0963E941" w14:textId="2BF8C51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00782C92" w14:paraId="3D907943" w14:textId="7AD1272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6C5AE06A" w14:paraId="095F7EC5" w14:textId="4FD15B9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Daphne</w:t>
            </w:r>
          </w:p>
          <w:p w:rsidRPr="004A2A98" w:rsidR="00782C92" w:rsidP="4469F881" w:rsidRDefault="00782C92" w14:paraId="19AF8E41" w14:textId="37009F1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</w:p>
          <w:p w:rsidRPr="004A2A98" w:rsidR="00782C92" w:rsidP="4469F881" w:rsidRDefault="28042571" w14:paraId="06BD278D" w14:textId="321CE78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</w:pPr>
            <w:r w:rsidRPr="4469F881">
              <w:rPr>
                <w:rFonts w:ascii="Calibri" w:hAnsi="Calibri" w:eastAsia="Times New Roman" w:cs="Calibri"/>
                <w:sz w:val="20"/>
                <w:szCs w:val="20"/>
                <w:lang w:eastAsia="nl-BE"/>
              </w:rPr>
              <w:t>Daphne</w:t>
            </w:r>
          </w:p>
        </w:tc>
      </w:tr>
    </w:tbl>
    <w:p w:rsidRPr="004A2A98" w:rsidR="004A2A98" w:rsidP="004A2A98" w:rsidRDefault="004A2A98" w14:paraId="35E6EFD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BE"/>
        </w:rPr>
      </w:pPr>
      <w:r w:rsidRPr="004A2A98">
        <w:rPr>
          <w:rFonts w:ascii="Calibri" w:hAnsi="Calibri" w:eastAsia="Times New Roman" w:cs="Calibri"/>
          <w:lang w:eastAsia="nl-BE"/>
        </w:rPr>
        <w:t> </w:t>
      </w:r>
    </w:p>
    <w:p w:rsidR="009E6D38" w:rsidRDefault="009E6D38" w14:paraId="778BB117" w14:textId="77777777"/>
    <w:p w:rsidR="16BACD1C" w:rsidP="3369F2B3" w:rsidRDefault="16BACD1C" w14:paraId="2AAA8606" w14:textId="774A1694">
      <w:pPr>
        <w:pStyle w:val="Normal"/>
      </w:pPr>
      <w:r w:rsidR="16BACD1C">
        <w:rPr/>
        <w:t>Ideetjes andere provincies:</w:t>
      </w:r>
    </w:p>
    <w:p w:rsidR="16BACD1C" w:rsidP="3369F2B3" w:rsidRDefault="16BACD1C" w14:paraId="0F3C33FD" w14:textId="60693BC4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nl-BE"/>
        </w:rPr>
      </w:pPr>
      <w:r w:rsidRPr="3369F2B3" w:rsidR="16BACD1C">
        <w:rPr>
          <w:rFonts w:ascii="Calibri" w:hAnsi="Calibri" w:eastAsia="Calibri" w:cs="Calibri"/>
          <w:noProof w:val="0"/>
          <w:sz w:val="22"/>
          <w:szCs w:val="22"/>
          <w:lang w:val="nl-BE"/>
        </w:rPr>
        <w:t>In Antwerpen een netwerkdag rtj aanbod (2500 euro)</w:t>
      </w:r>
    </w:p>
    <w:p w:rsidR="16BACD1C" w:rsidP="3369F2B3" w:rsidRDefault="16BACD1C" w14:paraId="68612E01" w14:textId="27B6CDBB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nl-BE"/>
        </w:rPr>
      </w:pPr>
      <w:r w:rsidRPr="3369F2B3" w:rsidR="16BACD1C">
        <w:rPr>
          <w:rFonts w:ascii="Calibri" w:hAnsi="Calibri" w:eastAsia="Calibri" w:cs="Calibri"/>
          <w:noProof w:val="0"/>
          <w:sz w:val="22"/>
          <w:szCs w:val="22"/>
          <w:lang w:val="nl-BE"/>
        </w:rPr>
        <w:t>In Limburg: Inspiratienetwerk ocmw- jeugdhulp 1500 euro/catering als netwerkondersteuning (cfr cachet sur route)- wg jovo-vlaamse collega’s welzijn en samenleving (lsb)</w:t>
      </w:r>
    </w:p>
    <w:p w:rsidR="16BACD1C" w:rsidP="3369F2B3" w:rsidRDefault="16BACD1C" w14:paraId="7407F219" w14:textId="1713B761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nl-BE"/>
        </w:rPr>
      </w:pPr>
      <w:r w:rsidRPr="3369F2B3" w:rsidR="16BACD1C">
        <w:rPr>
          <w:rFonts w:ascii="Calibri" w:hAnsi="Calibri" w:eastAsia="Calibri" w:cs="Calibri"/>
          <w:noProof w:val="0"/>
          <w:sz w:val="22"/>
          <w:szCs w:val="22"/>
          <w:lang w:val="nl-BE"/>
        </w:rPr>
        <w:t>Netwerkdag vaph en bjb (bruggen bouwen)- 600 euro voor zaal</w:t>
      </w:r>
    </w:p>
    <w:p w:rsidR="16BACD1C" w:rsidP="3369F2B3" w:rsidRDefault="16BACD1C" w14:paraId="1E0BBF9B" w14:textId="272F2869">
      <w:pPr>
        <w:spacing w:line="252" w:lineRule="auto"/>
      </w:pPr>
      <w:r w:rsidRPr="3369F2B3" w:rsidR="16BACD1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Raakvlakken/gaten</w:t>
      </w:r>
    </w:p>
    <w:p w:rsidR="16BACD1C" w:rsidP="3369F2B3" w:rsidRDefault="16BACD1C" w14:paraId="40A8893E" w14:textId="33141893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nl-BE"/>
        </w:rPr>
      </w:pPr>
      <w:r w:rsidRPr="3369F2B3" w:rsidR="16BACD1C">
        <w:rPr>
          <w:rFonts w:ascii="Calibri" w:hAnsi="Calibri" w:eastAsia="Calibri" w:cs="Calibri"/>
          <w:noProof w:val="0"/>
          <w:sz w:val="22"/>
          <w:szCs w:val="22"/>
          <w:lang w:val="nl-BE"/>
        </w:rPr>
        <w:t xml:space="preserve">3 vormingstrajecten: ouderschap hcs: 4000 euro (2023 en 200 2024); interscetoraal groepen samenstellen, per deelnemer 150 zelf betalen en 250 </w:t>
      </w:r>
    </w:p>
    <w:p w:rsidR="16BACD1C" w:rsidP="3369F2B3" w:rsidRDefault="16BACD1C" w14:paraId="3BC71B1B" w14:textId="48149642">
      <w:pPr>
        <w:spacing w:line="252" w:lineRule="auto"/>
      </w:pPr>
      <w:r w:rsidRPr="3369F2B3" w:rsidR="16BACD1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 xml:space="preserve">Zelfde vorming van consulenten osd/vk gekregen hebben- vanessa maes (paralell solo ouderschap); KUK is stopgezet. Caw aanbod is niet toereikend. </w:t>
      </w:r>
    </w:p>
    <w:p w:rsidR="16BACD1C" w:rsidP="3369F2B3" w:rsidRDefault="16BACD1C" w14:paraId="2751B99F" w14:textId="2F118134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nl-BE"/>
        </w:rPr>
      </w:pPr>
      <w:r w:rsidRPr="3369F2B3" w:rsidR="16BACD1C">
        <w:rPr>
          <w:rFonts w:ascii="Calibri" w:hAnsi="Calibri" w:eastAsia="Calibri" w:cs="Calibri"/>
          <w:noProof w:val="0"/>
          <w:sz w:val="22"/>
          <w:szCs w:val="22"/>
          <w:lang w:val="nl-BE"/>
        </w:rPr>
        <w:t>In WVL: Inspiratiemoment verontrusting 3000 euro</w:t>
      </w:r>
    </w:p>
    <w:p w:rsidR="16BACD1C" w:rsidP="3369F2B3" w:rsidRDefault="16BACD1C" w14:paraId="459BB881" w14:textId="7FD1A263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nl-BE"/>
        </w:rPr>
      </w:pPr>
      <w:r w:rsidRPr="3369F2B3" w:rsidR="16BACD1C">
        <w:rPr>
          <w:rFonts w:ascii="Calibri" w:hAnsi="Calibri" w:eastAsia="Calibri" w:cs="Calibri"/>
          <w:noProof w:val="0"/>
          <w:sz w:val="22"/>
          <w:szCs w:val="22"/>
          <w:lang w:val="nl-BE"/>
        </w:rPr>
        <w:t>In Vlaams Brabant: 5 cb bjb diensten (halle vilvoorde), vaph, osd, apart einstroombeleid, softwaere matig: tool instroombeheer 8500 euro (vgl rtj punt limburg)</w:t>
      </w:r>
    </w:p>
    <w:p w:rsidR="3369F2B3" w:rsidP="3369F2B3" w:rsidRDefault="3369F2B3" w14:paraId="39443F64" w14:textId="287BA024">
      <w:pPr>
        <w:pStyle w:val="Normal"/>
      </w:pPr>
    </w:p>
    <w:sectPr w:rsidR="009E6D3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7810be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a22d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4c7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44a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fc76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9202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EF20AA"/>
    <w:multiLevelType w:val="multilevel"/>
    <w:tmpl w:val="BB600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9719F"/>
    <w:multiLevelType w:val="multilevel"/>
    <w:tmpl w:val="68A89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91458"/>
    <w:multiLevelType w:val="multilevel"/>
    <w:tmpl w:val="71EC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350AF"/>
    <w:multiLevelType w:val="multilevel"/>
    <w:tmpl w:val="1B30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328C2"/>
    <w:multiLevelType w:val="multilevel"/>
    <w:tmpl w:val="C0F86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C4425"/>
    <w:multiLevelType w:val="multilevel"/>
    <w:tmpl w:val="EDD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F4F29"/>
    <w:multiLevelType w:val="multilevel"/>
    <w:tmpl w:val="321C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B33C3"/>
    <w:multiLevelType w:val="multilevel"/>
    <w:tmpl w:val="8A52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"/>
      <w:lvlJc w:val="left"/>
      <w:pPr>
        <w:ind w:left="1440" w:hanging="360"/>
      </w:pPr>
      <w:rPr>
        <w:rFonts w:hint="default" w:ascii="Wingdings" w:hAnsi="Wingdings" w:eastAsia="Times New Roman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E57EE"/>
    <w:multiLevelType w:val="multilevel"/>
    <w:tmpl w:val="146CD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63A81"/>
    <w:multiLevelType w:val="multilevel"/>
    <w:tmpl w:val="3F1C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E36DBA"/>
    <w:multiLevelType w:val="hybridMultilevel"/>
    <w:tmpl w:val="9F389E46"/>
    <w:lvl w:ilvl="0" w:tplc="6C9C0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82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C4F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86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CF5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26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A2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62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C3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A7A0C"/>
    <w:multiLevelType w:val="multilevel"/>
    <w:tmpl w:val="CDB06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352EE0"/>
    <w:multiLevelType w:val="multilevel"/>
    <w:tmpl w:val="1B7E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9CF6B67"/>
    <w:multiLevelType w:val="multilevel"/>
    <w:tmpl w:val="2304B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 w16cid:durableId="1503744371">
    <w:abstractNumId w:val="7"/>
  </w:num>
  <w:num w:numId="2" w16cid:durableId="573668698">
    <w:abstractNumId w:val="4"/>
  </w:num>
  <w:num w:numId="3" w16cid:durableId="609629510">
    <w:abstractNumId w:val="8"/>
  </w:num>
  <w:num w:numId="4" w16cid:durableId="581767260">
    <w:abstractNumId w:val="0"/>
  </w:num>
  <w:num w:numId="5" w16cid:durableId="381834513">
    <w:abstractNumId w:val="2"/>
  </w:num>
  <w:num w:numId="6" w16cid:durableId="206332823">
    <w:abstractNumId w:val="9"/>
  </w:num>
  <w:num w:numId="7" w16cid:durableId="2010013813">
    <w:abstractNumId w:val="3"/>
  </w:num>
  <w:num w:numId="8" w16cid:durableId="9111093">
    <w:abstractNumId w:val="5"/>
  </w:num>
  <w:num w:numId="9" w16cid:durableId="900797006">
    <w:abstractNumId w:val="13"/>
  </w:num>
  <w:num w:numId="10" w16cid:durableId="732508229">
    <w:abstractNumId w:val="6"/>
  </w:num>
  <w:num w:numId="11" w16cid:durableId="1572226886">
    <w:abstractNumId w:val="12"/>
  </w:num>
  <w:num w:numId="12" w16cid:durableId="528375307">
    <w:abstractNumId w:val="1"/>
  </w:num>
  <w:num w:numId="13" w16cid:durableId="1201743794">
    <w:abstractNumId w:val="11"/>
  </w:num>
  <w:num w:numId="14" w16cid:durableId="126453266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98"/>
    <w:rsid w:val="00013C1D"/>
    <w:rsid w:val="000247A2"/>
    <w:rsid w:val="0003167C"/>
    <w:rsid w:val="00070F54"/>
    <w:rsid w:val="00095FBA"/>
    <w:rsid w:val="000F14D9"/>
    <w:rsid w:val="00124869"/>
    <w:rsid w:val="001324B5"/>
    <w:rsid w:val="001A1873"/>
    <w:rsid w:val="001D4556"/>
    <w:rsid w:val="00291431"/>
    <w:rsid w:val="002A3AFF"/>
    <w:rsid w:val="002A4CCB"/>
    <w:rsid w:val="002B4FEA"/>
    <w:rsid w:val="002E6C11"/>
    <w:rsid w:val="002F65FE"/>
    <w:rsid w:val="0040422C"/>
    <w:rsid w:val="00421D10"/>
    <w:rsid w:val="00440AEF"/>
    <w:rsid w:val="00441FDC"/>
    <w:rsid w:val="004926B2"/>
    <w:rsid w:val="004A2A98"/>
    <w:rsid w:val="004D5C1F"/>
    <w:rsid w:val="004E1369"/>
    <w:rsid w:val="0057644D"/>
    <w:rsid w:val="00586FF7"/>
    <w:rsid w:val="005A45E6"/>
    <w:rsid w:val="005CA1AD"/>
    <w:rsid w:val="00610ABD"/>
    <w:rsid w:val="006265A7"/>
    <w:rsid w:val="00680D19"/>
    <w:rsid w:val="00695EA7"/>
    <w:rsid w:val="00761592"/>
    <w:rsid w:val="00776E9E"/>
    <w:rsid w:val="00782C92"/>
    <w:rsid w:val="007B7FB6"/>
    <w:rsid w:val="008339AF"/>
    <w:rsid w:val="00833C92"/>
    <w:rsid w:val="00853097"/>
    <w:rsid w:val="00873A83"/>
    <w:rsid w:val="008802E3"/>
    <w:rsid w:val="00887A19"/>
    <w:rsid w:val="008C2889"/>
    <w:rsid w:val="00902F7B"/>
    <w:rsid w:val="00987FA6"/>
    <w:rsid w:val="009C2135"/>
    <w:rsid w:val="009C3CFC"/>
    <w:rsid w:val="009E6D38"/>
    <w:rsid w:val="009F212E"/>
    <w:rsid w:val="00A25EF1"/>
    <w:rsid w:val="00A2732F"/>
    <w:rsid w:val="00A736BB"/>
    <w:rsid w:val="00A80590"/>
    <w:rsid w:val="00B143C3"/>
    <w:rsid w:val="00B965A7"/>
    <w:rsid w:val="00BD56BC"/>
    <w:rsid w:val="00C231F8"/>
    <w:rsid w:val="00C73999"/>
    <w:rsid w:val="00CA3D23"/>
    <w:rsid w:val="00CF4746"/>
    <w:rsid w:val="00D31C85"/>
    <w:rsid w:val="00D55C7E"/>
    <w:rsid w:val="00D94904"/>
    <w:rsid w:val="00DE0F7D"/>
    <w:rsid w:val="00E1219A"/>
    <w:rsid w:val="00E20435"/>
    <w:rsid w:val="00E5711D"/>
    <w:rsid w:val="00E62345"/>
    <w:rsid w:val="00E878CA"/>
    <w:rsid w:val="00E959AA"/>
    <w:rsid w:val="00ED3BA0"/>
    <w:rsid w:val="00F0398F"/>
    <w:rsid w:val="00F10744"/>
    <w:rsid w:val="00F677CD"/>
    <w:rsid w:val="00F96EB5"/>
    <w:rsid w:val="00FD6507"/>
    <w:rsid w:val="0469CE7C"/>
    <w:rsid w:val="05B4C54E"/>
    <w:rsid w:val="05F38ACC"/>
    <w:rsid w:val="075AF05E"/>
    <w:rsid w:val="081A2F43"/>
    <w:rsid w:val="08AB5813"/>
    <w:rsid w:val="08D33DB3"/>
    <w:rsid w:val="0A883671"/>
    <w:rsid w:val="0B39F322"/>
    <w:rsid w:val="0CD5C383"/>
    <w:rsid w:val="0F7938E1"/>
    <w:rsid w:val="0FD17CC5"/>
    <w:rsid w:val="10840181"/>
    <w:rsid w:val="132999A8"/>
    <w:rsid w:val="1361F603"/>
    <w:rsid w:val="136F5866"/>
    <w:rsid w:val="1415F05A"/>
    <w:rsid w:val="14E0D568"/>
    <w:rsid w:val="1591C8A1"/>
    <w:rsid w:val="15AA76CA"/>
    <w:rsid w:val="16BACD1C"/>
    <w:rsid w:val="182063B0"/>
    <w:rsid w:val="18751A55"/>
    <w:rsid w:val="1BFA8FE2"/>
    <w:rsid w:val="1CBC5EB1"/>
    <w:rsid w:val="1E67CB02"/>
    <w:rsid w:val="1F38AAE7"/>
    <w:rsid w:val="20E3388B"/>
    <w:rsid w:val="214028E7"/>
    <w:rsid w:val="229EC2F3"/>
    <w:rsid w:val="23573478"/>
    <w:rsid w:val="23DDCBA2"/>
    <w:rsid w:val="2506AEBA"/>
    <w:rsid w:val="28042571"/>
    <w:rsid w:val="2ABA5B0E"/>
    <w:rsid w:val="2B7F198E"/>
    <w:rsid w:val="2C40D54C"/>
    <w:rsid w:val="2D1D96C4"/>
    <w:rsid w:val="2D7090AB"/>
    <w:rsid w:val="2F806394"/>
    <w:rsid w:val="31105B0C"/>
    <w:rsid w:val="31605689"/>
    <w:rsid w:val="32B80456"/>
    <w:rsid w:val="3369F2B3"/>
    <w:rsid w:val="33D7270F"/>
    <w:rsid w:val="3453D4B7"/>
    <w:rsid w:val="378B7579"/>
    <w:rsid w:val="37C4D79E"/>
    <w:rsid w:val="385C60CC"/>
    <w:rsid w:val="387F4128"/>
    <w:rsid w:val="38AEC205"/>
    <w:rsid w:val="3C5EE69C"/>
    <w:rsid w:val="3CB99247"/>
    <w:rsid w:val="3D2FD1EF"/>
    <w:rsid w:val="3DED4BD2"/>
    <w:rsid w:val="3DFAB6FD"/>
    <w:rsid w:val="3F155869"/>
    <w:rsid w:val="406772B1"/>
    <w:rsid w:val="41572198"/>
    <w:rsid w:val="4469F881"/>
    <w:rsid w:val="453AE3D4"/>
    <w:rsid w:val="48A81D72"/>
    <w:rsid w:val="49664789"/>
    <w:rsid w:val="4AE8EF8D"/>
    <w:rsid w:val="4C3BA590"/>
    <w:rsid w:val="4D0CD542"/>
    <w:rsid w:val="4EEB755D"/>
    <w:rsid w:val="50D453AF"/>
    <w:rsid w:val="5206DB34"/>
    <w:rsid w:val="53ECF50C"/>
    <w:rsid w:val="56794FF7"/>
    <w:rsid w:val="56A44858"/>
    <w:rsid w:val="57B7517E"/>
    <w:rsid w:val="57E93F76"/>
    <w:rsid w:val="586D7198"/>
    <w:rsid w:val="59292A3A"/>
    <w:rsid w:val="5A6718B8"/>
    <w:rsid w:val="5AF7FB4C"/>
    <w:rsid w:val="5D0CB033"/>
    <w:rsid w:val="6248EF71"/>
    <w:rsid w:val="63CD80F6"/>
    <w:rsid w:val="68AC4F3F"/>
    <w:rsid w:val="69404649"/>
    <w:rsid w:val="6ADC16AA"/>
    <w:rsid w:val="6B8C119E"/>
    <w:rsid w:val="6C5AE06A"/>
    <w:rsid w:val="6C77E70B"/>
    <w:rsid w:val="6E010062"/>
    <w:rsid w:val="6E13B76C"/>
    <w:rsid w:val="6ECBAB79"/>
    <w:rsid w:val="6F1240EE"/>
    <w:rsid w:val="6F394CC6"/>
    <w:rsid w:val="6FFE32FE"/>
    <w:rsid w:val="7158C083"/>
    <w:rsid w:val="718E27E8"/>
    <w:rsid w:val="731073FA"/>
    <w:rsid w:val="74277891"/>
    <w:rsid w:val="749D7199"/>
    <w:rsid w:val="756A9E38"/>
    <w:rsid w:val="75E09740"/>
    <w:rsid w:val="78574624"/>
    <w:rsid w:val="793E0DB9"/>
    <w:rsid w:val="7A5FF364"/>
    <w:rsid w:val="7C0DE307"/>
    <w:rsid w:val="7C721B1A"/>
    <w:rsid w:val="7E7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AF78"/>
  <w15:chartTrackingRefBased/>
  <w15:docId w15:val="{1AE2AAF1-9349-48DA-8C0F-3EAD926E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2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A9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2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A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2A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2A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6E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5189E515F004E96F27B8E68BD316B" ma:contentTypeVersion="10" ma:contentTypeDescription="Een nieuw document maken." ma:contentTypeScope="" ma:versionID="ed2b76d7cd6704821ecd2de1466e5dc7">
  <xsd:schema xmlns:xsd="http://www.w3.org/2001/XMLSchema" xmlns:xs="http://www.w3.org/2001/XMLSchema" xmlns:p="http://schemas.microsoft.com/office/2006/metadata/properties" xmlns:ns2="3764d0ec-91d2-4631-8f39-0242f547b4f5" xmlns:ns3="24633fb7-c9ca-43d3-8898-2a7238632b84" targetNamespace="http://schemas.microsoft.com/office/2006/metadata/properties" ma:root="true" ma:fieldsID="0b68d12340c733eac25d8da78c07ffe5" ns2:_="" ns3:_="">
    <xsd:import namespace="3764d0ec-91d2-4631-8f39-0242f547b4f5"/>
    <xsd:import namespace="24633fb7-c9ca-43d3-8898-2a7238632b8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4d0ec-91d2-4631-8f39-0242f547b4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3fb7-c9ca-43d3-8898-2a7238632b8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91e2cd-3595-47fd-b882-608cc36bdd3c}" ma:internalName="TaxCatchAll" ma:showField="CatchAllData" ma:web="ba7f92e5-2492-41ce-bcf5-d8a9adaca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4d0ec-91d2-4631-8f39-0242f547b4f5">
      <Terms xmlns="http://schemas.microsoft.com/office/infopath/2007/PartnerControls"/>
    </lcf76f155ced4ddcb4097134ff3c332f>
    <TaxCatchAll xmlns="24633fb7-c9ca-43d3-8898-2a7238632b84" xsi:nil="true"/>
  </documentManagement>
</p:properties>
</file>

<file path=customXml/itemProps1.xml><?xml version="1.0" encoding="utf-8"?>
<ds:datastoreItem xmlns:ds="http://schemas.openxmlformats.org/officeDocument/2006/customXml" ds:itemID="{4C37A226-E532-479A-A34E-C4597E5B9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05E42-E2BC-448A-BDEB-C3A1A8AC6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BE79C-D2DF-4B17-8D03-F9EBC0BCE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4d0ec-91d2-4631-8f39-0242f547b4f5"/>
    <ds:schemaRef ds:uri="24633fb7-c9ca-43d3-8898-2a7238632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B72C3-0D4F-4780-868C-64050987DABC}">
  <ds:schemaRefs>
    <ds:schemaRef ds:uri="http://schemas.microsoft.com/office/2006/metadata/properties"/>
    <ds:schemaRef ds:uri="http://schemas.microsoft.com/office/infopath/2007/PartnerControls"/>
    <ds:schemaRef ds:uri="3764d0ec-91d2-4631-8f39-0242f547b4f5"/>
    <ds:schemaRef ds:uri="24633fb7-c9ca-43d3-8898-2a7238632b84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Bert Vanacker</dc:creator>
  <keywords/>
  <dc:description/>
  <lastModifiedBy>Daphne Sasanguie</lastModifiedBy>
  <revision>60</revision>
  <dcterms:created xsi:type="dcterms:W3CDTF">2023-03-27T01:15:00.0000000Z</dcterms:created>
  <dcterms:modified xsi:type="dcterms:W3CDTF">2023-04-25T09:07:55.6314984Z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20600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0x0101008AC5189E515F004E96F27B8E68BD316B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2227;#Carine De Meerleer;#443;#Isabelle Quintens;#1080;#Krista De Vos;#339;#Lisselotte Lowagie</vt:lpwstr>
  </property>
</Properties>
</file>